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BF" w:rsidRPr="008925BF" w:rsidRDefault="008925BF" w:rsidP="00807E97">
      <w:pPr>
        <w:pStyle w:val="Heading1"/>
      </w:pPr>
      <w:r w:rsidRPr="008925BF">
        <w:t xml:space="preserve">Appendix 2 </w:t>
      </w:r>
    </w:p>
    <w:p w:rsidR="008925BF" w:rsidRPr="00AA4F18" w:rsidRDefault="008925BF" w:rsidP="008925BF">
      <w:pPr>
        <w:rPr>
          <w:rStyle w:val="SubtleEmphasis"/>
        </w:rPr>
      </w:pPr>
      <w:r w:rsidRPr="00AA4F18">
        <w:rPr>
          <w:rStyle w:val="SubtleEmphasis"/>
        </w:rPr>
        <w:t xml:space="preserve">Specification of minimum requirements to the terms and conditions for the </w:t>
      </w:r>
      <w:r w:rsidR="00906517">
        <w:rPr>
          <w:rStyle w:val="SubtleEmphasis"/>
        </w:rPr>
        <w:t xml:space="preserve">primary </w:t>
      </w:r>
      <w:r w:rsidRPr="00AA4F18">
        <w:rPr>
          <w:rStyle w:val="SubtleEmphasis"/>
        </w:rPr>
        <w:t xml:space="preserve">policy </w:t>
      </w:r>
    </w:p>
    <w:p w:rsidR="008925BF" w:rsidRDefault="008925BF" w:rsidP="00807E97">
      <w:pPr>
        <w:pStyle w:val="Heading2"/>
      </w:pPr>
      <w:r w:rsidRPr="008925BF">
        <w:t xml:space="preserve">General terms </w:t>
      </w:r>
    </w:p>
    <w:p w:rsidR="008925BF" w:rsidRPr="008925BF" w:rsidRDefault="008925BF" w:rsidP="00807E97">
      <w:pPr>
        <w:pStyle w:val="Heading4"/>
      </w:pPr>
      <w:r w:rsidRPr="008925BF">
        <w:t xml:space="preserve">Policy period </w:t>
      </w:r>
    </w:p>
    <w:p w:rsidR="008925BF" w:rsidRPr="009C3ACE" w:rsidRDefault="008925BF" w:rsidP="008925BF">
      <w:pPr>
        <w:rPr>
          <w:rFonts w:ascii="Arial" w:hAnsi="Arial" w:cs="Arial"/>
        </w:rPr>
      </w:pPr>
      <w:r w:rsidRPr="009C3ACE">
        <w:rPr>
          <w:rFonts w:ascii="Arial" w:hAnsi="Arial" w:cs="Arial"/>
        </w:rPr>
        <w:t>1 March 201</w:t>
      </w:r>
      <w:r w:rsidR="00906517" w:rsidRPr="009C3ACE">
        <w:rPr>
          <w:rFonts w:ascii="Arial" w:hAnsi="Arial" w:cs="Arial"/>
        </w:rPr>
        <w:t>8</w:t>
      </w:r>
      <w:r w:rsidRPr="009C3ACE">
        <w:rPr>
          <w:rFonts w:ascii="Arial" w:hAnsi="Arial" w:cs="Arial"/>
        </w:rPr>
        <w:t xml:space="preserve"> to 28 Feb 201</w:t>
      </w:r>
      <w:r w:rsidR="00906517" w:rsidRPr="009C3ACE">
        <w:rPr>
          <w:rFonts w:ascii="Arial" w:hAnsi="Arial" w:cs="Arial"/>
        </w:rPr>
        <w:t>9</w:t>
      </w:r>
      <w:r w:rsidRPr="009C3ACE">
        <w:rPr>
          <w:rFonts w:ascii="Arial" w:hAnsi="Arial" w:cs="Arial"/>
        </w:rPr>
        <w:t xml:space="preserve"> both days inclusive. </w:t>
      </w:r>
    </w:p>
    <w:p w:rsidR="008925BF" w:rsidRPr="008925BF" w:rsidRDefault="008925BF" w:rsidP="00807E97">
      <w:pPr>
        <w:pStyle w:val="Heading4"/>
      </w:pPr>
      <w:r w:rsidRPr="008925BF">
        <w:t xml:space="preserve">Limit of liability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>EUR 20</w:t>
      </w:r>
      <w:r w:rsidR="00AA4F18">
        <w:rPr>
          <w:rFonts w:ascii="Arial" w:hAnsi="Arial" w:cs="Arial"/>
        </w:rPr>
        <w:t>,000,000</w:t>
      </w:r>
      <w:r w:rsidRPr="008925BF">
        <w:rPr>
          <w:rFonts w:ascii="Arial" w:hAnsi="Arial" w:cs="Arial"/>
        </w:rPr>
        <w:t xml:space="preserve"> for each and every claim and in the annual aggregate. </w:t>
      </w:r>
    </w:p>
    <w:p w:rsidR="008925BF" w:rsidRDefault="008925BF" w:rsidP="00807E97">
      <w:pPr>
        <w:pStyle w:val="Heading4"/>
      </w:pPr>
      <w:r w:rsidRPr="008925BF">
        <w:t xml:space="preserve">Geographic Area </w:t>
      </w:r>
    </w:p>
    <w:p w:rsid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World Wide </w:t>
      </w:r>
    </w:p>
    <w:p w:rsidR="008925BF" w:rsidRPr="008925BF" w:rsidRDefault="008925BF" w:rsidP="00807E97">
      <w:pPr>
        <w:pStyle w:val="Heading4"/>
      </w:pPr>
      <w:r w:rsidRPr="008925BF">
        <w:t xml:space="preserve">Sublimits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The following sublimits are required as a minimum: </w:t>
      </w:r>
    </w:p>
    <w:p w:rsidR="008925BF" w:rsidRDefault="008925BF" w:rsidP="00892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925BF">
        <w:rPr>
          <w:rFonts w:ascii="Arial" w:hAnsi="Arial" w:cs="Arial"/>
        </w:rPr>
        <w:t xml:space="preserve">epresentations </w:t>
      </w:r>
      <w:r>
        <w:rPr>
          <w:rFonts w:ascii="Arial" w:hAnsi="Arial" w:cs="Arial"/>
        </w:rPr>
        <w:t>at i</w:t>
      </w:r>
      <w:r w:rsidRPr="008925BF">
        <w:rPr>
          <w:rFonts w:ascii="Arial" w:hAnsi="Arial" w:cs="Arial"/>
        </w:rPr>
        <w:t xml:space="preserve">nvestigations: EUR 3,250,000 </w:t>
      </w:r>
    </w:p>
    <w:p w:rsidR="008925BF" w:rsidRDefault="008925BF" w:rsidP="00892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Emergency costs: EUR </w:t>
      </w:r>
      <w:r>
        <w:rPr>
          <w:rFonts w:ascii="Arial" w:hAnsi="Arial" w:cs="Arial"/>
        </w:rPr>
        <w:t>2,000,000</w:t>
      </w:r>
    </w:p>
    <w:p w:rsidR="008925BF" w:rsidRDefault="00222EEB" w:rsidP="00892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 </w:t>
      </w:r>
      <w:r w:rsidR="008925BF" w:rsidRPr="008925BF">
        <w:rPr>
          <w:rFonts w:ascii="Arial" w:hAnsi="Arial" w:cs="Arial"/>
        </w:rPr>
        <w:t xml:space="preserve">Pollution defense costs EUR </w:t>
      </w:r>
      <w:r>
        <w:rPr>
          <w:rFonts w:ascii="Arial" w:hAnsi="Arial" w:cs="Arial"/>
        </w:rPr>
        <w:t>10</w:t>
      </w:r>
      <w:r w:rsidR="00B57D25">
        <w:rPr>
          <w:rFonts w:ascii="Arial" w:hAnsi="Arial" w:cs="Arial"/>
        </w:rPr>
        <w:t>0,000</w:t>
      </w:r>
    </w:p>
    <w:p w:rsidR="008925BF" w:rsidRDefault="00B57D25" w:rsidP="00892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>R</w:t>
      </w:r>
      <w:r w:rsidR="008925BF" w:rsidRPr="00B57D25">
        <w:rPr>
          <w:rFonts w:ascii="Arial" w:hAnsi="Arial" w:cs="Arial"/>
        </w:rPr>
        <w:t xml:space="preserve">eputation protection expenses EUR </w:t>
      </w:r>
      <w:r>
        <w:rPr>
          <w:rFonts w:ascii="Arial" w:hAnsi="Arial" w:cs="Arial"/>
        </w:rPr>
        <w:t>20,000</w:t>
      </w:r>
    </w:p>
    <w:p w:rsidR="00B57D25" w:rsidRDefault="00B57D25" w:rsidP="00892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Crisis costs EUR 20,000</w:t>
      </w:r>
    </w:p>
    <w:p w:rsidR="008925BF" w:rsidRDefault="00B57D25" w:rsidP="00892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>P</w:t>
      </w:r>
      <w:r w:rsidR="008925BF" w:rsidRPr="00B57D25">
        <w:rPr>
          <w:rFonts w:ascii="Arial" w:hAnsi="Arial" w:cs="Arial"/>
        </w:rPr>
        <w:t xml:space="preserve">ublic relations Expenses EUR 27,000 </w:t>
      </w:r>
    </w:p>
    <w:p w:rsidR="00F86377" w:rsidRPr="00B57D25" w:rsidRDefault="00F86377" w:rsidP="008925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Loss Mitigation Cost EUR 1,000,000</w:t>
      </w:r>
    </w:p>
    <w:p w:rsidR="008925BF" w:rsidRPr="00B57D25" w:rsidRDefault="008925BF" w:rsidP="00807E97">
      <w:pPr>
        <w:pStyle w:val="Heading4"/>
      </w:pPr>
      <w:r w:rsidRPr="00B57D25">
        <w:t xml:space="preserve">Retentions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The policy must not contain any retention exceeding the following sublimits: </w:t>
      </w:r>
    </w:p>
    <w:p w:rsidR="008925BF" w:rsidRPr="00B57D25" w:rsidRDefault="008925BF" w:rsidP="00B57D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 xml:space="preserve">Non-indemnifiable loss: Nil </w:t>
      </w:r>
    </w:p>
    <w:p w:rsidR="008925BF" w:rsidRPr="00B57D25" w:rsidRDefault="008925BF" w:rsidP="00B57D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 xml:space="preserve">Indemnifiable loss: </w:t>
      </w:r>
    </w:p>
    <w:p w:rsidR="008925BF" w:rsidRPr="00B57D25" w:rsidRDefault="008925BF" w:rsidP="00B57D25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 xml:space="preserve">US claims : USD 50,000 </w:t>
      </w:r>
    </w:p>
    <w:p w:rsidR="00B57D25" w:rsidRDefault="008925BF" w:rsidP="008925B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 xml:space="preserve">Rest of the world : Nil </w:t>
      </w:r>
    </w:p>
    <w:p w:rsidR="00B57D25" w:rsidRDefault="008925BF" w:rsidP="00B57D2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>Investigation Costs:</w:t>
      </w:r>
    </w:p>
    <w:p w:rsidR="00B57D25" w:rsidRDefault="00B57D25" w:rsidP="008925B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>U</w:t>
      </w:r>
      <w:r w:rsidR="008925BF" w:rsidRPr="00B57D25">
        <w:rPr>
          <w:rFonts w:ascii="Arial" w:hAnsi="Arial" w:cs="Arial"/>
        </w:rPr>
        <w:t xml:space="preserve">S loss : USD 50,000 </w:t>
      </w:r>
    </w:p>
    <w:p w:rsidR="008925BF" w:rsidRDefault="008925BF" w:rsidP="008925B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B57D25">
        <w:rPr>
          <w:rFonts w:ascii="Arial" w:hAnsi="Arial" w:cs="Arial"/>
        </w:rPr>
        <w:t xml:space="preserve"> Rest of the world : Nil </w:t>
      </w:r>
    </w:p>
    <w:p w:rsidR="00B57D25" w:rsidRDefault="00B57D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25BF" w:rsidRPr="008925BF" w:rsidRDefault="008925BF" w:rsidP="00807E97">
      <w:pPr>
        <w:pStyle w:val="Heading4"/>
      </w:pPr>
      <w:r w:rsidRPr="00B57D25">
        <w:lastRenderedPageBreak/>
        <w:t xml:space="preserve">Prior and Pending Litigation Date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17 December 2009 </w:t>
      </w:r>
    </w:p>
    <w:p w:rsidR="008925BF" w:rsidRPr="00F61E8C" w:rsidRDefault="008925BF" w:rsidP="00807E97">
      <w:pPr>
        <w:pStyle w:val="Heading4"/>
      </w:pPr>
      <w:r w:rsidRPr="00F61E8C">
        <w:t xml:space="preserve">Retroactive cover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Parent company: The policy must cover all acts and omissions of the insured persons prior to the inception.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Subsidiaries: The policy must cover all acts and omissions made by insured persons after the date of the acquisition of said subsidiary. </w:t>
      </w:r>
    </w:p>
    <w:p w:rsidR="008925BF" w:rsidRPr="00F61E8C" w:rsidRDefault="008925BF" w:rsidP="00807E97">
      <w:pPr>
        <w:pStyle w:val="Heading4"/>
      </w:pPr>
      <w:r w:rsidRPr="00F61E8C">
        <w:t xml:space="preserve">Insured companies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The policy shall cover Finansiel Stabilitet </w:t>
      </w:r>
      <w:r w:rsidR="00906517">
        <w:rPr>
          <w:rFonts w:ascii="Arial" w:hAnsi="Arial" w:cs="Arial"/>
        </w:rPr>
        <w:t xml:space="preserve">SOV </w:t>
      </w:r>
      <w:r w:rsidRPr="008925BF">
        <w:rPr>
          <w:rFonts w:ascii="Arial" w:hAnsi="Arial" w:cs="Arial"/>
        </w:rPr>
        <w:t xml:space="preserve">and subsidiaries. </w:t>
      </w:r>
      <w:r w:rsidR="00906517">
        <w:rPr>
          <w:rFonts w:ascii="Arial" w:hAnsi="Arial" w:cs="Arial"/>
        </w:rPr>
        <w:br/>
      </w:r>
      <w:r w:rsidRPr="008925BF">
        <w:rPr>
          <w:rFonts w:ascii="Arial" w:hAnsi="Arial" w:cs="Arial"/>
        </w:rPr>
        <w:t xml:space="preserve">Subsidiaries must be covered from the date of the acquisition.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>With respect to the option concerning Roskilde Bank and its subsidiaries all minimum terms stated in this</w:t>
      </w:r>
      <w:r w:rsidR="00741B1B">
        <w:rPr>
          <w:rFonts w:ascii="Arial" w:hAnsi="Arial" w:cs="Arial"/>
        </w:rPr>
        <w:t xml:space="preserve"> </w:t>
      </w:r>
      <w:r w:rsidRPr="008925BF">
        <w:rPr>
          <w:rFonts w:ascii="Arial" w:hAnsi="Arial" w:cs="Arial"/>
        </w:rPr>
        <w:t xml:space="preserve">appendix are required. Failure to meet the minimum requirements </w:t>
      </w:r>
      <w:r w:rsidR="00AA4F18">
        <w:rPr>
          <w:rFonts w:ascii="Arial" w:hAnsi="Arial" w:cs="Arial"/>
        </w:rPr>
        <w:t xml:space="preserve">in the BAFO </w:t>
      </w:r>
      <w:r w:rsidRPr="008925BF">
        <w:rPr>
          <w:rFonts w:ascii="Arial" w:hAnsi="Arial" w:cs="Arial"/>
        </w:rPr>
        <w:t xml:space="preserve">will imply that the offer for the option will be non-compliant and will be dismissed. Furthermore, it will have an impact on the evaluation criteria, cf. section </w:t>
      </w:r>
      <w:r w:rsidR="00AA4F18">
        <w:rPr>
          <w:rFonts w:ascii="Arial" w:hAnsi="Arial" w:cs="Arial"/>
        </w:rPr>
        <w:t>7</w:t>
      </w:r>
      <w:r w:rsidRPr="008925BF">
        <w:rPr>
          <w:rFonts w:ascii="Arial" w:hAnsi="Arial" w:cs="Arial"/>
        </w:rPr>
        <w:t xml:space="preserve">. It will not otherwise affect the main offer </w:t>
      </w:r>
    </w:p>
    <w:p w:rsidR="008925BF" w:rsidRDefault="008925BF" w:rsidP="00807E97">
      <w:pPr>
        <w:pStyle w:val="Heading4"/>
      </w:pPr>
      <w:r w:rsidRPr="00741B1B">
        <w:t xml:space="preserve">Automatic Acquisition clause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The policy must cover all new subsidiaries, including financial institutions with a threshold of </w:t>
      </w:r>
      <w:r w:rsidR="00AA4F18">
        <w:rPr>
          <w:rFonts w:ascii="Arial" w:hAnsi="Arial" w:cs="Arial"/>
        </w:rPr>
        <w:t xml:space="preserve">minimum </w:t>
      </w:r>
      <w:r w:rsidRPr="008925BF">
        <w:rPr>
          <w:rFonts w:ascii="Arial" w:hAnsi="Arial" w:cs="Arial"/>
        </w:rPr>
        <w:t>25% of the assets of the group</w:t>
      </w:r>
      <w:bookmarkStart w:id="0" w:name="_GoBack"/>
      <w:bookmarkEnd w:id="0"/>
      <w:r w:rsidRPr="008925BF">
        <w:rPr>
          <w:rFonts w:ascii="Arial" w:hAnsi="Arial" w:cs="Arial"/>
        </w:rPr>
        <w:t xml:space="preserve">. A carve out for US listed companies will be accepted. </w:t>
      </w:r>
    </w:p>
    <w:p w:rsidR="008925BF" w:rsidRPr="008925BF" w:rsidRDefault="008925BF" w:rsidP="00807E97">
      <w:pPr>
        <w:pStyle w:val="Heading4"/>
      </w:pPr>
      <w:r w:rsidRPr="00741B1B">
        <w:t xml:space="preserve">Insured persons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The policy must cover all past, present and future </w:t>
      </w:r>
    </w:p>
    <w:p w:rsidR="008925BF" w:rsidRPr="00741B1B" w:rsidRDefault="008925BF" w:rsidP="008925B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directors and officers, including shadow directors and prospective directors </w:t>
      </w:r>
    </w:p>
    <w:p w:rsidR="008925BF" w:rsidRPr="00741B1B" w:rsidRDefault="008925BF" w:rsidP="008925B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employees </w:t>
      </w:r>
      <w:r w:rsidR="00F86377">
        <w:rPr>
          <w:rFonts w:ascii="Arial" w:hAnsi="Arial" w:cs="Arial"/>
        </w:rPr>
        <w:t>acting in a</w:t>
      </w:r>
      <w:r w:rsidRPr="00741B1B">
        <w:rPr>
          <w:rFonts w:ascii="Arial" w:hAnsi="Arial" w:cs="Arial"/>
        </w:rPr>
        <w:t xml:space="preserve"> managerial </w:t>
      </w:r>
      <w:r w:rsidR="00F86377">
        <w:rPr>
          <w:rFonts w:ascii="Arial" w:hAnsi="Arial" w:cs="Arial"/>
        </w:rPr>
        <w:t>capacity</w:t>
      </w:r>
      <w:r w:rsidRPr="00741B1B">
        <w:rPr>
          <w:rFonts w:ascii="Arial" w:hAnsi="Arial" w:cs="Arial"/>
        </w:rPr>
        <w:t xml:space="preserve"> </w:t>
      </w:r>
    </w:p>
    <w:p w:rsidR="008925BF" w:rsidRPr="00741B1B" w:rsidRDefault="008925BF" w:rsidP="008925B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spouse or domestic partner </w:t>
      </w:r>
    </w:p>
    <w:p w:rsidR="008925BF" w:rsidRPr="00741B1B" w:rsidRDefault="008925BF" w:rsidP="008925B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heirs and estates </w:t>
      </w:r>
    </w:p>
    <w:p w:rsidR="008925BF" w:rsidRPr="00741B1B" w:rsidRDefault="008925BF" w:rsidP="008925B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legal representatives </w:t>
      </w:r>
    </w:p>
    <w:p w:rsidR="008925BF" w:rsidRPr="00741B1B" w:rsidRDefault="008925BF" w:rsidP="00741B1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lawyer employed to comply with Sarbannes Oxley Act </w:t>
      </w:r>
    </w:p>
    <w:p w:rsidR="00741B1B" w:rsidRDefault="00741B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925BF" w:rsidRPr="008925BF" w:rsidRDefault="008925BF" w:rsidP="00F86377">
      <w:pPr>
        <w:pStyle w:val="Heading1"/>
      </w:pPr>
      <w:r w:rsidRPr="00741B1B">
        <w:lastRenderedPageBreak/>
        <w:t xml:space="preserve">Coverages </w:t>
      </w:r>
    </w:p>
    <w:p w:rsidR="008925BF" w:rsidRPr="008925BF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 xml:space="preserve">The policy must contain the following coverages: </w:t>
      </w:r>
    </w:p>
    <w:p w:rsidR="008925BF" w:rsidRPr="00741B1B" w:rsidRDefault="008925BF" w:rsidP="00741B1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General Coverages </w:t>
      </w:r>
    </w:p>
    <w:p w:rsidR="008925BF" w:rsidRPr="00741B1B" w:rsidRDefault="008925BF" w:rsidP="008925B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Side A cover: Indemnification on behalf of the Insured persons </w:t>
      </w:r>
    </w:p>
    <w:p w:rsidR="008925BF" w:rsidRPr="00741B1B" w:rsidRDefault="008925BF" w:rsidP="008925B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>Side B cover: Indemnification on behalf of the Insured Company</w:t>
      </w:r>
    </w:p>
    <w:p w:rsidR="00741B1B" w:rsidRDefault="008925BF" w:rsidP="00741B1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>Representation at investigations</w:t>
      </w:r>
      <w:r w:rsidR="00103DFB">
        <w:rPr>
          <w:rFonts w:ascii="Arial" w:hAnsi="Arial" w:cs="Arial"/>
        </w:rPr>
        <w:br/>
      </w:r>
    </w:p>
    <w:p w:rsidR="008925BF" w:rsidRPr="00103DFB" w:rsidRDefault="008925BF" w:rsidP="00103DFB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  <w:color w:val="FF0000"/>
        </w:rPr>
      </w:pPr>
      <w:r w:rsidRPr="00103DFB">
        <w:rPr>
          <w:rFonts w:ascii="Arial" w:hAnsi="Arial" w:cs="Arial"/>
        </w:rPr>
        <w:t>Outside Dir</w:t>
      </w:r>
      <w:r w:rsidR="00103DFB" w:rsidRPr="00103DFB">
        <w:rPr>
          <w:rFonts w:ascii="Arial" w:hAnsi="Arial" w:cs="Arial"/>
        </w:rPr>
        <w:t xml:space="preserve">ectorship Liability: </w:t>
      </w:r>
      <w:r w:rsidRPr="00103DFB">
        <w:rPr>
          <w:rFonts w:ascii="Arial" w:hAnsi="Arial" w:cs="Arial"/>
        </w:rPr>
        <w:t>Cover under the policy must be extended to any natural person, who at the specific request of the Company did or does serve as a director, officer, trustee, governor or equivalent of any outside entity other than a US listed company in their capacity as such. However, the definition of outside entity may exclude</w:t>
      </w:r>
      <w:r w:rsidR="00741B1B" w:rsidRPr="00103DFB">
        <w:rPr>
          <w:rFonts w:ascii="Arial" w:hAnsi="Arial" w:cs="Arial"/>
        </w:rPr>
        <w:t xml:space="preserve"> </w:t>
      </w:r>
      <w:r w:rsidRPr="00103DFB">
        <w:rPr>
          <w:rFonts w:ascii="Arial" w:hAnsi="Arial" w:cs="Arial"/>
        </w:rPr>
        <w:t>financial instituti</w:t>
      </w:r>
      <w:r w:rsidR="00741B1B" w:rsidRPr="00103DFB">
        <w:rPr>
          <w:rFonts w:ascii="Arial" w:hAnsi="Arial" w:cs="Arial"/>
        </w:rPr>
        <w:t>ons other than Amagerbanken A/S</w:t>
      </w:r>
      <w:r w:rsidR="00104C74">
        <w:rPr>
          <w:rFonts w:ascii="Arial" w:hAnsi="Arial" w:cs="Arial"/>
        </w:rPr>
        <w:t xml:space="preserve"> and Cantobank A/S.</w:t>
      </w:r>
      <w:r w:rsidR="00103DFB">
        <w:rPr>
          <w:rFonts w:ascii="Arial" w:hAnsi="Arial" w:cs="Arial"/>
          <w:color w:val="FF0000"/>
        </w:rPr>
        <w:br/>
      </w:r>
    </w:p>
    <w:p w:rsidR="00F86377" w:rsidRDefault="008925BF" w:rsidP="00103DFB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41B1B">
        <w:rPr>
          <w:rFonts w:ascii="Arial" w:hAnsi="Arial" w:cs="Arial"/>
        </w:rPr>
        <w:t xml:space="preserve">Extradition costs </w:t>
      </w:r>
      <w:r w:rsidR="00F86377">
        <w:rPr>
          <w:rFonts w:ascii="Arial" w:hAnsi="Arial" w:cs="Arial"/>
        </w:rPr>
        <w:br/>
      </w:r>
    </w:p>
    <w:p w:rsidR="00103DFB" w:rsidRPr="00F86377" w:rsidRDefault="00F86377" w:rsidP="00F86377">
      <w:pPr>
        <w:pStyle w:val="ListParagraph"/>
        <w:numPr>
          <w:ilvl w:val="0"/>
          <w:numId w:val="13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F86377">
        <w:rPr>
          <w:rFonts w:ascii="Arial" w:hAnsi="Arial" w:cs="Arial"/>
        </w:rPr>
        <w:t>Loss Mitigation costs</w:t>
      </w:r>
      <w:r w:rsidR="00103DFB" w:rsidRPr="00F86377">
        <w:rPr>
          <w:rFonts w:ascii="Arial" w:hAnsi="Arial" w:cs="Arial"/>
        </w:rPr>
        <w:br/>
      </w:r>
    </w:p>
    <w:p w:rsidR="00741B1B" w:rsidRPr="00103DFB" w:rsidRDefault="00103DFB" w:rsidP="00103DFB">
      <w:pPr>
        <w:pStyle w:val="ListParagraph"/>
        <w:numPr>
          <w:ilvl w:val="0"/>
          <w:numId w:val="13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103DFB">
        <w:rPr>
          <w:rFonts w:ascii="Arial" w:hAnsi="Arial" w:cs="Arial"/>
        </w:rPr>
        <w:t>A</w:t>
      </w:r>
      <w:r w:rsidR="008925BF" w:rsidRPr="00103DFB">
        <w:rPr>
          <w:rFonts w:ascii="Arial" w:hAnsi="Arial" w:cs="Arial"/>
        </w:rPr>
        <w:t>ssets and Liberty costs</w:t>
      </w:r>
      <w:r w:rsidR="00F86377">
        <w:rPr>
          <w:rFonts w:ascii="Arial" w:hAnsi="Arial" w:cs="Arial"/>
        </w:rPr>
        <w:t xml:space="preserve"> </w:t>
      </w:r>
    </w:p>
    <w:p w:rsidR="008925BF" w:rsidRDefault="00741B1B" w:rsidP="008925B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>B</w:t>
      </w:r>
      <w:r w:rsidR="008925BF" w:rsidRPr="00741B1B">
        <w:rPr>
          <w:rFonts w:ascii="Arial" w:hAnsi="Arial" w:cs="Arial"/>
        </w:rPr>
        <w:t xml:space="preserve">ail bond costs </w:t>
      </w:r>
    </w:p>
    <w:p w:rsidR="008925BF" w:rsidRDefault="00741B1B" w:rsidP="008925B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>P</w:t>
      </w:r>
      <w:r w:rsidR="008925BF" w:rsidRPr="00741B1B">
        <w:rPr>
          <w:rFonts w:ascii="Arial" w:hAnsi="Arial" w:cs="Arial"/>
        </w:rPr>
        <w:t xml:space="preserve">rosecution costs </w:t>
      </w:r>
    </w:p>
    <w:p w:rsidR="008925BF" w:rsidRDefault="00741B1B" w:rsidP="008925B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741B1B">
        <w:rPr>
          <w:rFonts w:ascii="Arial" w:hAnsi="Arial" w:cs="Arial"/>
        </w:rPr>
        <w:t>D</w:t>
      </w:r>
      <w:r w:rsidR="008925BF" w:rsidRPr="00741B1B">
        <w:rPr>
          <w:rFonts w:ascii="Arial" w:hAnsi="Arial" w:cs="Arial"/>
        </w:rPr>
        <w:t xml:space="preserve">eprivation of assets expense </w:t>
      </w:r>
      <w:r w:rsidR="00103DFB">
        <w:rPr>
          <w:rFonts w:ascii="Arial" w:hAnsi="Arial" w:cs="Arial"/>
        </w:rPr>
        <w:br/>
      </w:r>
    </w:p>
    <w:p w:rsidR="008925BF" w:rsidRDefault="00741B1B" w:rsidP="00103DFB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741B1B">
        <w:rPr>
          <w:rFonts w:ascii="Arial" w:hAnsi="Arial" w:cs="Arial"/>
        </w:rPr>
        <w:t>P</w:t>
      </w:r>
      <w:r w:rsidR="008925BF" w:rsidRPr="00741B1B">
        <w:rPr>
          <w:rFonts w:ascii="Arial" w:hAnsi="Arial" w:cs="Arial"/>
        </w:rPr>
        <w:t xml:space="preserve">ublic relations / Reputation </w:t>
      </w:r>
    </w:p>
    <w:p w:rsidR="00103DFB" w:rsidRDefault="00741B1B" w:rsidP="008925B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103DFB">
        <w:rPr>
          <w:rFonts w:ascii="Arial" w:hAnsi="Arial" w:cs="Arial"/>
        </w:rPr>
        <w:t>P</w:t>
      </w:r>
      <w:r w:rsidR="008925BF" w:rsidRPr="00103DFB">
        <w:rPr>
          <w:rFonts w:ascii="Arial" w:hAnsi="Arial" w:cs="Arial"/>
        </w:rPr>
        <w:t xml:space="preserve">ublic Relations expense </w:t>
      </w:r>
    </w:p>
    <w:p w:rsidR="008925BF" w:rsidRDefault="008925BF" w:rsidP="008925B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103DFB">
        <w:rPr>
          <w:rFonts w:ascii="Arial" w:hAnsi="Arial" w:cs="Arial"/>
        </w:rPr>
        <w:t xml:space="preserve">Reputation Protection expenses / reputational recovery expenses </w:t>
      </w:r>
      <w:r w:rsidR="00103DFB">
        <w:rPr>
          <w:rFonts w:ascii="Arial" w:hAnsi="Arial" w:cs="Arial"/>
        </w:rPr>
        <w:br/>
      </w:r>
    </w:p>
    <w:p w:rsidR="008925BF" w:rsidRDefault="00103DFB" w:rsidP="00126AE3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103DFB">
        <w:rPr>
          <w:rFonts w:ascii="Arial" w:hAnsi="Arial" w:cs="Arial"/>
        </w:rPr>
        <w:t>L</w:t>
      </w:r>
      <w:r w:rsidR="008925BF" w:rsidRPr="00103DFB">
        <w:rPr>
          <w:rFonts w:ascii="Arial" w:hAnsi="Arial" w:cs="Arial"/>
        </w:rPr>
        <w:t xml:space="preserve">aw firms </w:t>
      </w:r>
      <w:r w:rsidRPr="00103DFB">
        <w:rPr>
          <w:rFonts w:ascii="Arial" w:hAnsi="Arial" w:cs="Arial"/>
        </w:rPr>
        <w:t xml:space="preserve">: </w:t>
      </w:r>
      <w:r w:rsidR="008925BF" w:rsidRPr="00103DFB">
        <w:rPr>
          <w:rFonts w:ascii="Arial" w:hAnsi="Arial" w:cs="Arial"/>
        </w:rPr>
        <w:t xml:space="preserve">The following law firms must at all times be approved as </w:t>
      </w:r>
      <w:r w:rsidRPr="00103DFB">
        <w:rPr>
          <w:rFonts w:ascii="Arial" w:hAnsi="Arial" w:cs="Arial"/>
        </w:rPr>
        <w:t>defense</w:t>
      </w:r>
      <w:r w:rsidR="008925BF" w:rsidRPr="00103DFB">
        <w:rPr>
          <w:rFonts w:ascii="Arial" w:hAnsi="Arial" w:cs="Arial"/>
        </w:rPr>
        <w:t xml:space="preserve"> council without further consent from the insurer: </w:t>
      </w:r>
    </w:p>
    <w:p w:rsidR="008925BF" w:rsidRDefault="00103DFB" w:rsidP="008925BF">
      <w:pPr>
        <w:pStyle w:val="ListParagraph"/>
        <w:numPr>
          <w:ilvl w:val="1"/>
          <w:numId w:val="13"/>
        </w:numPr>
        <w:rPr>
          <w:rFonts w:ascii="Arial" w:hAnsi="Arial" w:cs="Arial"/>
          <w:lang w:val="da-DK"/>
        </w:rPr>
      </w:pPr>
      <w:r w:rsidRPr="00103DFB">
        <w:rPr>
          <w:rFonts w:ascii="Arial" w:hAnsi="Arial" w:cs="Arial"/>
        </w:rPr>
        <w:t>P</w:t>
      </w:r>
      <w:r w:rsidR="008925BF" w:rsidRPr="00103DFB">
        <w:rPr>
          <w:rFonts w:ascii="Arial" w:hAnsi="Arial" w:cs="Arial"/>
          <w:lang w:val="da-DK"/>
        </w:rPr>
        <w:t xml:space="preserve">lesner </w:t>
      </w:r>
    </w:p>
    <w:p w:rsidR="008925BF" w:rsidRDefault="00103DFB" w:rsidP="008925BF">
      <w:pPr>
        <w:pStyle w:val="ListParagraph"/>
        <w:numPr>
          <w:ilvl w:val="1"/>
          <w:numId w:val="13"/>
        </w:numPr>
        <w:rPr>
          <w:rFonts w:ascii="Arial" w:hAnsi="Arial" w:cs="Arial"/>
          <w:lang w:val="da-DK"/>
        </w:rPr>
      </w:pPr>
      <w:r w:rsidRPr="00103DFB">
        <w:rPr>
          <w:rFonts w:ascii="Arial" w:hAnsi="Arial" w:cs="Arial"/>
          <w:lang w:val="da-DK"/>
        </w:rPr>
        <w:t>K</w:t>
      </w:r>
      <w:r w:rsidR="008925BF" w:rsidRPr="00103DFB">
        <w:rPr>
          <w:rFonts w:ascii="Arial" w:hAnsi="Arial" w:cs="Arial"/>
          <w:lang w:val="da-DK"/>
        </w:rPr>
        <w:t xml:space="preserve">romann Reumert </w:t>
      </w:r>
    </w:p>
    <w:p w:rsidR="008925BF" w:rsidRPr="005048EB" w:rsidRDefault="00103DFB" w:rsidP="00AC505F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5048EB">
        <w:rPr>
          <w:rFonts w:ascii="Arial" w:hAnsi="Arial" w:cs="Arial"/>
          <w:lang w:val="da-DK"/>
        </w:rPr>
        <w:t>G</w:t>
      </w:r>
      <w:r w:rsidR="008925BF" w:rsidRPr="005048EB">
        <w:rPr>
          <w:rFonts w:ascii="Arial" w:hAnsi="Arial" w:cs="Arial"/>
          <w:lang w:val="da-DK"/>
        </w:rPr>
        <w:t xml:space="preserve">orrisen Federspiel </w:t>
      </w:r>
      <w:r w:rsidRPr="005048EB">
        <w:rPr>
          <w:rFonts w:ascii="Arial" w:hAnsi="Arial" w:cs="Arial"/>
        </w:rPr>
        <w:br/>
      </w:r>
    </w:p>
    <w:p w:rsidR="008925BF" w:rsidRPr="00103DFB" w:rsidRDefault="008925BF" w:rsidP="008925BF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103DFB">
        <w:rPr>
          <w:rFonts w:ascii="Arial" w:hAnsi="Arial" w:cs="Arial"/>
        </w:rPr>
        <w:t xml:space="preserve">Order of Payment </w:t>
      </w:r>
      <w:r w:rsidR="00103DFB" w:rsidRPr="00103DFB">
        <w:rPr>
          <w:rFonts w:ascii="Arial" w:hAnsi="Arial" w:cs="Arial"/>
        </w:rPr>
        <w:t>: T</w:t>
      </w:r>
      <w:r w:rsidRPr="00103DFB">
        <w:rPr>
          <w:rFonts w:ascii="Arial" w:hAnsi="Arial" w:cs="Arial"/>
        </w:rPr>
        <w:t xml:space="preserve">he policy must have a clause stating that the insurer must pay non-indemnifiable loss first; loss paid by the company on behalf of an insured person secondly; and other loss incurred by the company last. </w:t>
      </w:r>
      <w:r w:rsidR="00103DFB">
        <w:rPr>
          <w:rFonts w:ascii="Arial" w:hAnsi="Arial" w:cs="Arial"/>
        </w:rPr>
        <w:br/>
      </w:r>
    </w:p>
    <w:p w:rsidR="00126AE3" w:rsidRDefault="008925BF" w:rsidP="00126AE3">
      <w:pPr>
        <w:pStyle w:val="ListParagraph"/>
        <w:numPr>
          <w:ilvl w:val="0"/>
          <w:numId w:val="13"/>
        </w:numPr>
        <w:ind w:left="426" w:hanging="426"/>
        <w:rPr>
          <w:rFonts w:ascii="Arial" w:hAnsi="Arial" w:cs="Arial"/>
        </w:rPr>
      </w:pPr>
      <w:r w:rsidRPr="00126AE3">
        <w:rPr>
          <w:rFonts w:ascii="Arial" w:hAnsi="Arial" w:cs="Arial"/>
        </w:rPr>
        <w:t xml:space="preserve">Severability </w:t>
      </w:r>
      <w:r w:rsidR="00126AE3" w:rsidRPr="00126AE3">
        <w:rPr>
          <w:rFonts w:ascii="Arial" w:hAnsi="Arial" w:cs="Arial"/>
        </w:rPr>
        <w:t>clause: The</w:t>
      </w:r>
      <w:r w:rsidRPr="00126AE3">
        <w:rPr>
          <w:rFonts w:ascii="Arial" w:hAnsi="Arial" w:cs="Arial"/>
        </w:rPr>
        <w:t xml:space="preserve"> policy must have a full severability clause stating that statements made or knowledge possessed by one insured person </w:t>
      </w:r>
      <w:r w:rsidR="00126AE3" w:rsidRPr="00126AE3">
        <w:rPr>
          <w:rFonts w:ascii="Arial" w:hAnsi="Arial" w:cs="Arial"/>
        </w:rPr>
        <w:t>cannot</w:t>
      </w:r>
      <w:r w:rsidRPr="00126AE3">
        <w:rPr>
          <w:rFonts w:ascii="Arial" w:hAnsi="Arial" w:cs="Arial"/>
        </w:rPr>
        <w:t xml:space="preserve"> be imputed on other insured persons. </w:t>
      </w:r>
      <w:r w:rsidR="0084530A">
        <w:rPr>
          <w:rFonts w:ascii="Arial" w:hAnsi="Arial" w:cs="Arial"/>
        </w:rPr>
        <w:br/>
      </w:r>
    </w:p>
    <w:p w:rsidR="00126AE3" w:rsidRPr="00F86377" w:rsidRDefault="008925BF" w:rsidP="00F86377">
      <w:pPr>
        <w:pStyle w:val="Heading1"/>
      </w:pPr>
      <w:r w:rsidRPr="00F86377">
        <w:lastRenderedPageBreak/>
        <w:t xml:space="preserve">Exclusions </w:t>
      </w:r>
    </w:p>
    <w:p w:rsidR="00126AE3" w:rsidRDefault="008925BF" w:rsidP="008925BF">
      <w:pPr>
        <w:rPr>
          <w:rFonts w:ascii="Arial" w:hAnsi="Arial" w:cs="Arial"/>
        </w:rPr>
      </w:pPr>
      <w:r w:rsidRPr="008925BF">
        <w:rPr>
          <w:rFonts w:ascii="Arial" w:hAnsi="Arial" w:cs="Arial"/>
        </w:rPr>
        <w:t>The policy must not contain any exclusion other than:</w:t>
      </w:r>
    </w:p>
    <w:p w:rsidR="00126AE3" w:rsidRDefault="00126AE3" w:rsidP="00126AE3">
      <w:pPr>
        <w:pStyle w:val="ListParagraph"/>
        <w:numPr>
          <w:ilvl w:val="0"/>
          <w:numId w:val="16"/>
        </w:numPr>
        <w:ind w:left="284" w:hanging="284"/>
        <w:rPr>
          <w:rFonts w:ascii="Arial" w:hAnsi="Arial" w:cs="Arial"/>
        </w:rPr>
      </w:pPr>
      <w:r w:rsidRPr="00126AE3">
        <w:rPr>
          <w:rFonts w:ascii="Arial" w:hAnsi="Arial" w:cs="Arial"/>
        </w:rPr>
        <w:t>C</w:t>
      </w:r>
      <w:r w:rsidR="008925BF" w:rsidRPr="00126AE3">
        <w:rPr>
          <w:rFonts w:ascii="Arial" w:hAnsi="Arial" w:cs="Arial"/>
        </w:rPr>
        <w:t>onduct, but only after final adjudication or written admission</w:t>
      </w:r>
    </w:p>
    <w:p w:rsidR="008925BF" w:rsidRPr="00126AE3" w:rsidRDefault="00126AE3" w:rsidP="00126AE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126AE3">
        <w:rPr>
          <w:rFonts w:ascii="Arial" w:hAnsi="Arial" w:cs="Arial"/>
        </w:rPr>
        <w:t>D</w:t>
      </w:r>
      <w:r w:rsidR="008925BF" w:rsidRPr="00126AE3">
        <w:rPr>
          <w:rFonts w:ascii="Arial" w:hAnsi="Arial" w:cs="Arial"/>
        </w:rPr>
        <w:t xml:space="preserve">ishonest and fraudulent acts and omissions </w:t>
      </w:r>
    </w:p>
    <w:p w:rsidR="008925BF" w:rsidRPr="00F52C2E" w:rsidRDefault="008925BF" w:rsidP="008925B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52C2E">
        <w:rPr>
          <w:rFonts w:ascii="Arial" w:hAnsi="Arial" w:cs="Arial"/>
        </w:rPr>
        <w:t xml:space="preserve">Any personal gain </w:t>
      </w:r>
      <w:r w:rsidR="00F52C2E">
        <w:rPr>
          <w:rFonts w:ascii="Arial" w:hAnsi="Arial" w:cs="Arial"/>
        </w:rPr>
        <w:br/>
      </w:r>
    </w:p>
    <w:p w:rsidR="008925BF" w:rsidRDefault="008925BF" w:rsidP="008925B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52C2E">
        <w:rPr>
          <w:rFonts w:ascii="Arial" w:hAnsi="Arial" w:cs="Arial"/>
        </w:rPr>
        <w:t>Prior and pending litigation / notice to prior insurer</w:t>
      </w:r>
      <w:r w:rsidR="00F52C2E" w:rsidRPr="00F52C2E">
        <w:rPr>
          <w:rFonts w:ascii="Arial" w:hAnsi="Arial" w:cs="Arial"/>
        </w:rPr>
        <w:t xml:space="preserve">. This </w:t>
      </w:r>
      <w:r w:rsidRPr="00F52C2E">
        <w:rPr>
          <w:rFonts w:ascii="Arial" w:hAnsi="Arial" w:cs="Arial"/>
        </w:rPr>
        <w:t xml:space="preserve">exclusion may comprise series claims and a specific matters exclusion for the </w:t>
      </w:r>
      <w:r w:rsidR="00F52C2E">
        <w:rPr>
          <w:rFonts w:ascii="Arial" w:hAnsi="Arial" w:cs="Arial"/>
        </w:rPr>
        <w:t>bankruptcy of Amagerbanken A/S</w:t>
      </w:r>
      <w:r w:rsidR="00F52C2E">
        <w:rPr>
          <w:rFonts w:ascii="Arial" w:hAnsi="Arial" w:cs="Arial"/>
        </w:rPr>
        <w:br/>
      </w:r>
    </w:p>
    <w:p w:rsidR="008925BF" w:rsidRDefault="00F52C2E" w:rsidP="008925B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52C2E">
        <w:rPr>
          <w:rFonts w:ascii="Arial" w:hAnsi="Arial" w:cs="Arial"/>
        </w:rPr>
        <w:t>F</w:t>
      </w:r>
      <w:r w:rsidR="008925BF" w:rsidRPr="00F52C2E">
        <w:rPr>
          <w:rFonts w:ascii="Arial" w:hAnsi="Arial" w:cs="Arial"/>
        </w:rPr>
        <w:t>ines</w:t>
      </w:r>
      <w:r w:rsidRPr="00F52C2E">
        <w:rPr>
          <w:rFonts w:ascii="Arial" w:hAnsi="Arial" w:cs="Arial"/>
        </w:rPr>
        <w:t xml:space="preserve">, </w:t>
      </w:r>
      <w:r w:rsidR="008925BF" w:rsidRPr="00F52C2E">
        <w:rPr>
          <w:rFonts w:ascii="Arial" w:hAnsi="Arial" w:cs="Arial"/>
        </w:rPr>
        <w:t>penalties</w:t>
      </w:r>
      <w:r w:rsidRPr="00F52C2E">
        <w:rPr>
          <w:rFonts w:ascii="Arial" w:hAnsi="Arial" w:cs="Arial"/>
        </w:rPr>
        <w:t xml:space="preserve"> and taxes, however the exclusion must have a carve back for </w:t>
      </w:r>
    </w:p>
    <w:p w:rsidR="009F2DDC" w:rsidRDefault="009F2DDC" w:rsidP="008925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Civil fines and penalties</w:t>
      </w:r>
    </w:p>
    <w:p w:rsidR="008925BF" w:rsidRPr="00F52C2E" w:rsidRDefault="00F52C2E" w:rsidP="008925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52C2E">
        <w:rPr>
          <w:rFonts w:ascii="Arial" w:hAnsi="Arial" w:cs="Arial"/>
        </w:rPr>
        <w:t>L</w:t>
      </w:r>
      <w:r w:rsidR="008925BF" w:rsidRPr="00F52C2E">
        <w:rPr>
          <w:rFonts w:ascii="Arial" w:hAnsi="Arial" w:cs="Arial"/>
        </w:rPr>
        <w:t>oss arising from personal liability for unpaid taxes where the company has become insolvent, except for wi</w:t>
      </w:r>
      <w:r>
        <w:rPr>
          <w:rFonts w:ascii="Arial" w:hAnsi="Arial" w:cs="Arial"/>
        </w:rPr>
        <w:t>l</w:t>
      </w:r>
      <w:r w:rsidR="008925BF" w:rsidRPr="00F52C2E">
        <w:rPr>
          <w:rFonts w:ascii="Arial" w:hAnsi="Arial" w:cs="Arial"/>
        </w:rPr>
        <w:t>lful intent</w:t>
      </w:r>
      <w:r w:rsidR="009F2DDC">
        <w:rPr>
          <w:rFonts w:ascii="Arial" w:hAnsi="Arial" w:cs="Arial"/>
        </w:rPr>
        <w:t xml:space="preserve"> of the insured</w:t>
      </w:r>
      <w:r w:rsidR="008925BF" w:rsidRPr="00F52C2E">
        <w:rPr>
          <w:rFonts w:ascii="Arial" w:hAnsi="Arial" w:cs="Arial"/>
        </w:rPr>
        <w:t xml:space="preserve"> to violate any statutory </w:t>
      </w:r>
      <w:r w:rsidR="009F2DDC">
        <w:rPr>
          <w:rFonts w:ascii="Arial" w:hAnsi="Arial" w:cs="Arial"/>
        </w:rPr>
        <w:t>duty governing the payment of taxes</w:t>
      </w:r>
      <w:r w:rsidR="009F2DDC">
        <w:rPr>
          <w:rFonts w:ascii="Arial" w:hAnsi="Arial" w:cs="Arial"/>
        </w:rPr>
        <w:br/>
      </w:r>
    </w:p>
    <w:p w:rsidR="009F2DDC" w:rsidRDefault="00F86377" w:rsidP="008925BF">
      <w:pPr>
        <w:pStyle w:val="ListParagraph"/>
        <w:numPr>
          <w:ilvl w:val="0"/>
          <w:numId w:val="14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US C</w:t>
      </w:r>
      <w:r w:rsidR="008925BF" w:rsidRPr="009F2DDC">
        <w:rPr>
          <w:rFonts w:ascii="Arial" w:hAnsi="Arial" w:cs="Arial"/>
        </w:rPr>
        <w:t xml:space="preserve">vI exclusion with carve back for </w:t>
      </w:r>
    </w:p>
    <w:p w:rsidR="008925BF" w:rsidRDefault="009F2DDC" w:rsidP="008925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9F2DDC">
        <w:rPr>
          <w:rFonts w:ascii="Arial" w:hAnsi="Arial" w:cs="Arial"/>
        </w:rPr>
        <w:t>S</w:t>
      </w:r>
      <w:r w:rsidR="008925BF" w:rsidRPr="009F2DDC">
        <w:rPr>
          <w:rFonts w:ascii="Arial" w:hAnsi="Arial" w:cs="Arial"/>
        </w:rPr>
        <w:t xml:space="preserve">hareholder derivative actions </w:t>
      </w:r>
    </w:p>
    <w:p w:rsidR="008925BF" w:rsidRDefault="009F2DDC" w:rsidP="008925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9F2DDC">
        <w:rPr>
          <w:rFonts w:ascii="Arial" w:hAnsi="Arial" w:cs="Arial"/>
        </w:rPr>
        <w:t>C</w:t>
      </w:r>
      <w:r w:rsidR="008925BF" w:rsidRPr="009F2DDC">
        <w:rPr>
          <w:rFonts w:ascii="Arial" w:hAnsi="Arial" w:cs="Arial"/>
        </w:rPr>
        <w:t xml:space="preserve">laims brought by liquidators or similar </w:t>
      </w:r>
    </w:p>
    <w:p w:rsidR="008925BF" w:rsidRDefault="009F2DDC" w:rsidP="008925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9F2DDC">
        <w:rPr>
          <w:rFonts w:ascii="Arial" w:hAnsi="Arial" w:cs="Arial"/>
        </w:rPr>
        <w:t>W</w:t>
      </w:r>
      <w:r w:rsidR="008925BF" w:rsidRPr="009F2DDC">
        <w:rPr>
          <w:rFonts w:ascii="Arial" w:hAnsi="Arial" w:cs="Arial"/>
        </w:rPr>
        <w:t xml:space="preserve">histleblower claims </w:t>
      </w:r>
    </w:p>
    <w:p w:rsidR="008925BF" w:rsidRPr="009F2DDC" w:rsidRDefault="009F2DDC" w:rsidP="008925B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9F2DDC">
        <w:rPr>
          <w:rFonts w:ascii="Arial" w:hAnsi="Arial" w:cs="Arial"/>
        </w:rPr>
        <w:t>Defense</w:t>
      </w:r>
      <w:r w:rsidR="008925BF" w:rsidRPr="009F2DDC">
        <w:rPr>
          <w:rFonts w:ascii="Arial" w:hAnsi="Arial" w:cs="Arial"/>
        </w:rPr>
        <w:t xml:space="preserve"> costs </w:t>
      </w:r>
      <w:r>
        <w:rPr>
          <w:rFonts w:ascii="Arial" w:hAnsi="Arial" w:cs="Arial"/>
        </w:rPr>
        <w:br/>
      </w:r>
    </w:p>
    <w:p w:rsidR="008925BF" w:rsidRDefault="008925BF" w:rsidP="002B74F5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</w:rPr>
      </w:pPr>
      <w:r w:rsidRPr="009F2DDC">
        <w:rPr>
          <w:rFonts w:ascii="Arial" w:hAnsi="Arial" w:cs="Arial"/>
        </w:rPr>
        <w:t xml:space="preserve">Pension Trustee claims </w:t>
      </w:r>
      <w:r w:rsidR="009F2DDC">
        <w:rPr>
          <w:rFonts w:ascii="Arial" w:hAnsi="Arial" w:cs="Arial"/>
        </w:rPr>
        <w:br/>
      </w:r>
    </w:p>
    <w:p w:rsidR="008925BF" w:rsidRDefault="009F2DDC" w:rsidP="009F2DDC">
      <w:pPr>
        <w:pStyle w:val="ListParagraph"/>
        <w:numPr>
          <w:ilvl w:val="2"/>
          <w:numId w:val="18"/>
        </w:numPr>
        <w:ind w:left="284" w:hanging="284"/>
        <w:rPr>
          <w:rFonts w:ascii="Arial" w:hAnsi="Arial" w:cs="Arial"/>
        </w:rPr>
      </w:pPr>
      <w:r w:rsidRPr="009F2DDC">
        <w:rPr>
          <w:rFonts w:ascii="Arial" w:hAnsi="Arial" w:cs="Arial"/>
        </w:rPr>
        <w:t>Pub</w:t>
      </w:r>
      <w:r w:rsidR="008925BF" w:rsidRPr="009F2DDC">
        <w:rPr>
          <w:rFonts w:ascii="Arial" w:hAnsi="Arial" w:cs="Arial"/>
        </w:rPr>
        <w:t xml:space="preserve">lic offering of securities with carve back for </w:t>
      </w:r>
    </w:p>
    <w:p w:rsidR="008925BF" w:rsidRPr="002B74F5" w:rsidRDefault="002B74F5" w:rsidP="002B74F5">
      <w:pPr>
        <w:pStyle w:val="ListParagraph"/>
        <w:numPr>
          <w:ilvl w:val="1"/>
          <w:numId w:val="18"/>
        </w:numPr>
        <w:ind w:left="1134" w:hanging="425"/>
        <w:rPr>
          <w:rFonts w:ascii="Arial" w:hAnsi="Arial" w:cs="Arial"/>
        </w:rPr>
      </w:pPr>
      <w:r w:rsidRPr="002B74F5">
        <w:rPr>
          <w:rFonts w:ascii="Arial" w:hAnsi="Arial" w:cs="Arial"/>
        </w:rPr>
        <w:t>D</w:t>
      </w:r>
      <w:r w:rsidR="008925BF" w:rsidRPr="002B74F5">
        <w:rPr>
          <w:rFonts w:ascii="Arial" w:hAnsi="Arial" w:cs="Arial"/>
        </w:rPr>
        <w:t xml:space="preserve">ebt or notes outside US </w:t>
      </w:r>
    </w:p>
    <w:p w:rsidR="002B74F5" w:rsidRPr="002B74F5" w:rsidRDefault="008925BF" w:rsidP="002B74F5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2B74F5">
        <w:rPr>
          <w:rFonts w:ascii="Arial" w:hAnsi="Arial" w:cs="Arial"/>
        </w:rPr>
        <w:t xml:space="preserve"> private placements </w:t>
      </w:r>
      <w:r w:rsidR="002B74F5" w:rsidRPr="002B74F5">
        <w:rPr>
          <w:rFonts w:ascii="Arial" w:hAnsi="Arial" w:cs="Arial"/>
        </w:rPr>
        <w:br/>
      </w:r>
    </w:p>
    <w:p w:rsidR="008925BF" w:rsidRDefault="008925BF" w:rsidP="002B74F5">
      <w:pPr>
        <w:pStyle w:val="ListParagraph"/>
        <w:numPr>
          <w:ilvl w:val="2"/>
          <w:numId w:val="14"/>
        </w:numPr>
        <w:ind w:left="284" w:hanging="284"/>
        <w:rPr>
          <w:rFonts w:ascii="Arial" w:hAnsi="Arial" w:cs="Arial"/>
        </w:rPr>
      </w:pPr>
      <w:r w:rsidRPr="002B74F5">
        <w:rPr>
          <w:rFonts w:ascii="Arial" w:hAnsi="Arial" w:cs="Arial"/>
        </w:rPr>
        <w:t xml:space="preserve">Bodily injury / Property Damage with carve back for </w:t>
      </w:r>
    </w:p>
    <w:p w:rsidR="008925BF" w:rsidRDefault="002B74F5" w:rsidP="008925BF">
      <w:pPr>
        <w:pStyle w:val="ListParagraph"/>
        <w:numPr>
          <w:ilvl w:val="3"/>
          <w:numId w:val="14"/>
        </w:numPr>
        <w:ind w:left="1134"/>
        <w:rPr>
          <w:rFonts w:ascii="Arial" w:hAnsi="Arial" w:cs="Arial"/>
        </w:rPr>
      </w:pPr>
      <w:r w:rsidRPr="002B74F5">
        <w:rPr>
          <w:rFonts w:ascii="Arial" w:hAnsi="Arial" w:cs="Arial"/>
        </w:rPr>
        <w:t>E</w:t>
      </w:r>
      <w:r w:rsidR="008925BF" w:rsidRPr="002B74F5">
        <w:rPr>
          <w:rFonts w:ascii="Arial" w:hAnsi="Arial" w:cs="Arial"/>
        </w:rPr>
        <w:t xml:space="preserve">motional distress etc. following employment related wrongful act or omission </w:t>
      </w:r>
    </w:p>
    <w:p w:rsidR="008925BF" w:rsidRDefault="002B74F5" w:rsidP="008925BF">
      <w:pPr>
        <w:pStyle w:val="ListParagraph"/>
        <w:numPr>
          <w:ilvl w:val="3"/>
          <w:numId w:val="14"/>
        </w:numPr>
        <w:ind w:left="1134"/>
        <w:rPr>
          <w:rFonts w:ascii="Arial" w:hAnsi="Arial" w:cs="Arial"/>
        </w:rPr>
      </w:pPr>
      <w:r w:rsidRPr="002B74F5">
        <w:rPr>
          <w:rFonts w:ascii="Arial" w:hAnsi="Arial" w:cs="Arial"/>
        </w:rPr>
        <w:t>Defense</w:t>
      </w:r>
      <w:r w:rsidR="008925BF" w:rsidRPr="002B74F5">
        <w:rPr>
          <w:rFonts w:ascii="Arial" w:hAnsi="Arial" w:cs="Arial"/>
        </w:rPr>
        <w:t xml:space="preserve"> costs</w:t>
      </w:r>
      <w:r>
        <w:rPr>
          <w:rFonts w:ascii="Arial" w:hAnsi="Arial" w:cs="Arial"/>
        </w:rPr>
        <w:t xml:space="preserve"> including Corporate Manslaughter and Occupational Health and Safety Law</w:t>
      </w:r>
      <w:r w:rsidR="008925BF" w:rsidRPr="002B7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2B74F5" w:rsidRPr="002B74F5" w:rsidRDefault="002B74F5" w:rsidP="002B74F5">
      <w:pPr>
        <w:pStyle w:val="ListParagraph"/>
        <w:ind w:left="360"/>
        <w:rPr>
          <w:rFonts w:ascii="Arial" w:hAnsi="Arial" w:cs="Arial"/>
        </w:rPr>
      </w:pPr>
    </w:p>
    <w:p w:rsidR="008925BF" w:rsidRPr="008925BF" w:rsidRDefault="008925BF" w:rsidP="008925BF">
      <w:pPr>
        <w:rPr>
          <w:rFonts w:ascii="Arial" w:hAnsi="Arial" w:cs="Arial"/>
        </w:rPr>
      </w:pPr>
    </w:p>
    <w:sectPr w:rsidR="008925BF" w:rsidRPr="008925BF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FCC"/>
    <w:multiLevelType w:val="hybridMultilevel"/>
    <w:tmpl w:val="9ADA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3E77"/>
    <w:multiLevelType w:val="hybridMultilevel"/>
    <w:tmpl w:val="AA1E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709"/>
    <w:multiLevelType w:val="hybridMultilevel"/>
    <w:tmpl w:val="0CE0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5284"/>
    <w:multiLevelType w:val="hybridMultilevel"/>
    <w:tmpl w:val="9EA8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275B"/>
    <w:multiLevelType w:val="hybridMultilevel"/>
    <w:tmpl w:val="0D78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A6044"/>
    <w:multiLevelType w:val="hybridMultilevel"/>
    <w:tmpl w:val="DB9A31C0"/>
    <w:lvl w:ilvl="0" w:tplc="CEC844C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119"/>
    <w:multiLevelType w:val="hybridMultilevel"/>
    <w:tmpl w:val="CDA6E118"/>
    <w:lvl w:ilvl="0" w:tplc="CEC844C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5B86"/>
    <w:multiLevelType w:val="hybridMultilevel"/>
    <w:tmpl w:val="AA4232A0"/>
    <w:lvl w:ilvl="0" w:tplc="973C5E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703D"/>
    <w:multiLevelType w:val="hybridMultilevel"/>
    <w:tmpl w:val="90A6B8E0"/>
    <w:lvl w:ilvl="0" w:tplc="CEC844C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A6902"/>
    <w:multiLevelType w:val="hybridMultilevel"/>
    <w:tmpl w:val="8898AE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2D1B"/>
    <w:multiLevelType w:val="hybridMultilevel"/>
    <w:tmpl w:val="39BC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75C6A"/>
    <w:multiLevelType w:val="hybridMultilevel"/>
    <w:tmpl w:val="1494D81A"/>
    <w:lvl w:ilvl="0" w:tplc="CEC844C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439C8"/>
    <w:multiLevelType w:val="hybridMultilevel"/>
    <w:tmpl w:val="80524444"/>
    <w:lvl w:ilvl="0" w:tplc="CEC844C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67F6"/>
    <w:multiLevelType w:val="hybridMultilevel"/>
    <w:tmpl w:val="0BB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6B28"/>
    <w:multiLevelType w:val="hybridMultilevel"/>
    <w:tmpl w:val="4FCE0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925566"/>
    <w:multiLevelType w:val="hybridMultilevel"/>
    <w:tmpl w:val="E69E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05FE3"/>
    <w:multiLevelType w:val="hybridMultilevel"/>
    <w:tmpl w:val="C842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97BF3"/>
    <w:multiLevelType w:val="hybridMultilevel"/>
    <w:tmpl w:val="B46E72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103DFB"/>
    <w:rsid w:val="00104C74"/>
    <w:rsid w:val="00126AE3"/>
    <w:rsid w:val="00222EEB"/>
    <w:rsid w:val="00224269"/>
    <w:rsid w:val="002B74F5"/>
    <w:rsid w:val="00311C6A"/>
    <w:rsid w:val="005048EB"/>
    <w:rsid w:val="005B3053"/>
    <w:rsid w:val="00741B1B"/>
    <w:rsid w:val="00807E97"/>
    <w:rsid w:val="0084530A"/>
    <w:rsid w:val="008925BF"/>
    <w:rsid w:val="00906517"/>
    <w:rsid w:val="009C3ACE"/>
    <w:rsid w:val="009F2DDC"/>
    <w:rsid w:val="00AA4F18"/>
    <w:rsid w:val="00AC505F"/>
    <w:rsid w:val="00B57D25"/>
    <w:rsid w:val="00F52C2E"/>
    <w:rsid w:val="00F61E8C"/>
    <w:rsid w:val="00F72470"/>
    <w:rsid w:val="00F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3B5E3-0CE9-4804-8779-D240EC8D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7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4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4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AA4F18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AA4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4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07E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7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04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8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4255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2017-08-02T08:48:00Z</dcterms:created>
  <dcterms:modified xsi:type="dcterms:W3CDTF">2017-08-02T08:48:00Z</dcterms:modified>
</cp:coreProperties>
</file>